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107B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第五章  原子与原子核</w:t>
      </w:r>
    </w:p>
    <w:p w14:paraId="682C6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第二节  放射性元素的衰变</w:t>
      </w:r>
    </w:p>
    <w:p w14:paraId="3E252F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1.放射性的发现</w:t>
      </w:r>
    </w:p>
    <w:p w14:paraId="7C1D0D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物质放出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的性质叫作放射性，具有放射性的元素叫作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，能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放出射线的元素叫作天然放射性元素。</w:t>
      </w:r>
    </w:p>
    <w:p w14:paraId="607D0A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2.原子核的衰变</w:t>
      </w:r>
    </w:p>
    <w:p w14:paraId="3EEBC2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（1）定义：一种元素经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变成另一种元素的现象，称为原子核的衰变。</w:t>
      </w:r>
    </w:p>
    <w:p w14:paraId="2D491E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（2）放射性元素放出的射线常见的有三种: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射线、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β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射线和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γ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射线，三种射线的成分和性质如下表所示。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1272"/>
        <w:gridCol w:w="676"/>
        <w:gridCol w:w="788"/>
        <w:gridCol w:w="984"/>
        <w:gridCol w:w="677"/>
        <w:gridCol w:w="937"/>
        <w:gridCol w:w="2497"/>
      </w:tblGrid>
      <w:tr w14:paraId="71939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 w14:paraId="0917CB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vertAlign w:val="baseline"/>
                <w:lang w:val="en-US" w:eastAsia="zh-CN"/>
              </w:rPr>
              <w:t>名称</w:t>
            </w:r>
          </w:p>
        </w:tc>
        <w:tc>
          <w:tcPr>
            <w:tcW w:w="0" w:type="auto"/>
            <w:vAlign w:val="center"/>
          </w:tcPr>
          <w:p w14:paraId="48AE7F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vertAlign w:val="baseline"/>
                <w:lang w:val="en-US" w:eastAsia="zh-CN"/>
              </w:rPr>
              <w:t>构成</w:t>
            </w:r>
          </w:p>
        </w:tc>
        <w:tc>
          <w:tcPr>
            <w:tcW w:w="0" w:type="auto"/>
            <w:vAlign w:val="center"/>
          </w:tcPr>
          <w:p w14:paraId="52030F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vertAlign w:val="baseline"/>
                <w:lang w:val="en-US" w:eastAsia="zh-CN"/>
              </w:rPr>
              <w:t>符号</w:t>
            </w:r>
          </w:p>
        </w:tc>
        <w:tc>
          <w:tcPr>
            <w:tcW w:w="0" w:type="auto"/>
            <w:vAlign w:val="center"/>
          </w:tcPr>
          <w:p w14:paraId="2D8ECD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vertAlign w:val="baseline"/>
                <w:lang w:val="en-US" w:eastAsia="zh-CN"/>
              </w:rPr>
              <w:t>电荷量</w:t>
            </w:r>
          </w:p>
        </w:tc>
        <w:tc>
          <w:tcPr>
            <w:tcW w:w="0" w:type="auto"/>
            <w:vAlign w:val="center"/>
          </w:tcPr>
          <w:p w14:paraId="6A7989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vertAlign w:val="baseline"/>
                <w:lang w:val="en-US" w:eastAsia="zh-CN"/>
              </w:rPr>
              <w:t>质量</w:t>
            </w:r>
          </w:p>
        </w:tc>
        <w:tc>
          <w:tcPr>
            <w:tcW w:w="0" w:type="auto"/>
            <w:vAlign w:val="center"/>
          </w:tcPr>
          <w:p w14:paraId="343ACF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vertAlign w:val="baseline"/>
                <w:lang w:val="en-US" w:eastAsia="zh-CN"/>
              </w:rPr>
              <w:t>速度</w:t>
            </w:r>
          </w:p>
        </w:tc>
        <w:tc>
          <w:tcPr>
            <w:tcW w:w="0" w:type="auto"/>
            <w:vAlign w:val="center"/>
          </w:tcPr>
          <w:p w14:paraId="08CD1B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vertAlign w:val="baseline"/>
                <w:lang w:val="en-US" w:eastAsia="zh-CN"/>
              </w:rPr>
              <w:t>电离能力</w:t>
            </w:r>
          </w:p>
        </w:tc>
        <w:tc>
          <w:tcPr>
            <w:tcW w:w="0" w:type="auto"/>
            <w:vAlign w:val="center"/>
          </w:tcPr>
          <w:p w14:paraId="52DC9B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vertAlign w:val="baseline"/>
                <w:lang w:val="en-US" w:eastAsia="zh-CN"/>
              </w:rPr>
              <w:t>穿透能力</w:t>
            </w:r>
          </w:p>
        </w:tc>
      </w:tr>
      <w:tr w14:paraId="22299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 w14:paraId="339537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lang w:val="en-US" w:eastAsia="zh-CN"/>
              </w:rPr>
              <w:t>α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lang w:val="en-US" w:eastAsia="zh-CN"/>
              </w:rPr>
              <w:t>射线</w:t>
            </w:r>
          </w:p>
        </w:tc>
        <w:tc>
          <w:tcPr>
            <w:tcW w:w="0" w:type="auto"/>
            <w:vAlign w:val="center"/>
          </w:tcPr>
          <w:p w14:paraId="68F955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高速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流</w:t>
            </w:r>
          </w:p>
        </w:tc>
        <w:tc>
          <w:tcPr>
            <w:tcW w:w="0" w:type="auto"/>
            <w:vAlign w:val="center"/>
          </w:tcPr>
          <w:p w14:paraId="5A9320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hAnsi="Cambria Math" w:eastAsia="宋体" w:cs="Times New Roman"/>
                <w:b w:val="0"/>
                <w:bCs w:val="0"/>
                <w:i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hAnsi="Cambria Math" w:eastAsia="宋体" w:cs="Times New Roman"/>
                <w:b w:val="0"/>
                <w:bCs w:val="0"/>
                <w:i w:val="0"/>
                <w:color w:val="auto"/>
                <w:kern w:val="2"/>
                <w:position w:val="-10"/>
                <w:sz w:val="21"/>
                <w:szCs w:val="24"/>
                <w:vertAlign w:val="baseline"/>
                <w:lang w:val="en-US" w:eastAsia="zh-CN" w:bidi="ar-SA"/>
              </w:rPr>
              <w:object>
                <v:shape id="_x0000_i1025" o:spt="75" type="#_x0000_t75" style="height:18pt;width:23pt;" o:ole="t" filled="f" o:preferrelative="t" stroked="f" coordsize="21600,21600">
                  <v:path/>
                  <v:fill on="f" focussize="0,0"/>
                  <v:stroke on="f"/>
                  <v:imagedata r:id="rId6" o:title=""/>
                  <o:lock v:ext="edit" aspectratio="t"/>
                  <w10:wrap type="none"/>
                  <w10:anchorlock/>
                </v:shape>
                <o:OLEObject Type="Embed" ProgID="Equation.KSEE3" ShapeID="_x0000_i1025" DrawAspect="Content" ObjectID="_1468075725" r:id="rId5">
                  <o:LockedField>false</o:LockedField>
                </o:OLEObject>
              </w:object>
            </w:r>
          </w:p>
        </w:tc>
        <w:tc>
          <w:tcPr>
            <w:tcW w:w="0" w:type="auto"/>
            <w:vAlign w:val="center"/>
          </w:tcPr>
          <w:p w14:paraId="286F34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+2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e</w:t>
            </w:r>
          </w:p>
        </w:tc>
        <w:tc>
          <w:tcPr>
            <w:tcW w:w="0" w:type="auto"/>
            <w:vAlign w:val="center"/>
          </w:tcPr>
          <w:p w14:paraId="38143A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subscript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subscript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+2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subscript"/>
                <w:lang w:val="en-US" w:eastAsia="zh-CN"/>
              </w:rPr>
              <w:t>n</w:t>
            </w:r>
          </w:p>
        </w:tc>
        <w:tc>
          <w:tcPr>
            <w:tcW w:w="0" w:type="auto"/>
            <w:vAlign w:val="center"/>
          </w:tcPr>
          <w:p w14:paraId="456E03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0.1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c</w:t>
            </w:r>
          </w:p>
        </w:tc>
        <w:tc>
          <w:tcPr>
            <w:tcW w:w="0" w:type="auto"/>
            <w:vAlign w:val="center"/>
          </w:tcPr>
          <w:p w14:paraId="5E099B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最强</w:t>
            </w:r>
          </w:p>
        </w:tc>
        <w:tc>
          <w:tcPr>
            <w:tcW w:w="0" w:type="auto"/>
            <w:vAlign w:val="center"/>
          </w:tcPr>
          <w:p w14:paraId="02308A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最弱，用一张纸就能挡住</w:t>
            </w:r>
          </w:p>
        </w:tc>
      </w:tr>
      <w:tr w14:paraId="1FEBF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 w14:paraId="78727F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u w:val="none"/>
                <w:lang w:val="en-US" w:eastAsia="zh-CN"/>
              </w:rPr>
              <w:t>β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lang w:val="en-US" w:eastAsia="zh-CN"/>
              </w:rPr>
              <w:t>射线</w:t>
            </w:r>
          </w:p>
        </w:tc>
        <w:tc>
          <w:tcPr>
            <w:tcW w:w="0" w:type="auto"/>
            <w:vAlign w:val="center"/>
          </w:tcPr>
          <w:p w14:paraId="38C474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高速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 xml:space="preserve"> 流</w:t>
            </w:r>
          </w:p>
        </w:tc>
        <w:tc>
          <w:tcPr>
            <w:tcW w:w="0" w:type="auto"/>
            <w:vAlign w:val="center"/>
          </w:tcPr>
          <w:p w14:paraId="7588AE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position w:val="-10"/>
                <w:vertAlign w:val="baseline"/>
                <w:lang w:val="en-US" w:eastAsia="zh-CN"/>
              </w:rPr>
              <w:object>
                <v:shape id="_x0000_i1026" o:spt="75" type="#_x0000_t75" style="height:18pt;width:15pt;" o:ole="t" filled="f" o:preferrelative="t" stroked="f" coordsize="21600,21600">
                  <v:path/>
                  <v:fill on="f" focussize="0,0"/>
                  <v:stroke on="f"/>
                  <v:imagedata r:id="rId8" o:title=""/>
                  <o:lock v:ext="edit" aspectratio="t"/>
                  <w10:wrap type="none"/>
                  <w10:anchorlock/>
                </v:shape>
                <o:OLEObject Type="Embed" ProgID="Equation.KSEE3" ShapeID="_x0000_i1026" DrawAspect="Content" ObjectID="_1468075726" r:id="rId7">
                  <o:LockedField>false</o:LockedField>
                </o:OLEObject>
              </w:object>
            </w:r>
          </w:p>
        </w:tc>
        <w:tc>
          <w:tcPr>
            <w:tcW w:w="0" w:type="auto"/>
            <w:vAlign w:val="center"/>
          </w:tcPr>
          <w:p w14:paraId="112374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e</w:t>
            </w:r>
          </w:p>
        </w:tc>
        <w:tc>
          <w:tcPr>
            <w:tcW w:w="0" w:type="auto"/>
            <w:vAlign w:val="center"/>
          </w:tcPr>
          <w:p w14:paraId="14259E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hAnsi="Cambria Math" w:eastAsia="宋体" w:cs="Times New Roman"/>
                <w:b w:val="0"/>
                <w:bCs w:val="0"/>
                <w:i w:val="0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m:oMathPara>
              <m:oMath>
                <m:f>
                  <m:fPr>
                    <m:ctrlPr>
                      <w:rPr>
                        <w:rFonts w:hint="default" w:ascii="Cambria Math" w:hAnsi="Cambria Math" w:eastAsia="宋体"/>
                        <w:i/>
                        <w:color w:val="auto"/>
                        <w:sz w:val="21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hint="default" w:ascii="Cambria Math" w:hAnsi="Cambria Math" w:eastAsia="宋体"/>
                            <w:color w:val="auto"/>
                            <w:sz w:val="21"/>
                          </w:rPr>
                        </m:ctrlPr>
                      </m:sSubPr>
                      <m:e>
                        <m:r>
                          <m:rPr/>
                          <w:rPr>
                            <w:rFonts w:hint="default" w:ascii="Cambria Math" w:hAnsi="Cambria Math" w:eastAsia="宋体"/>
                            <w:color w:val="auto"/>
                            <w:sz w:val="21"/>
                          </w:rPr>
                          <m:t>m</m:t>
                        </m:r>
                        <m:ctrlPr>
                          <w:rPr>
                            <w:rFonts w:ascii="Cambria Math" w:hAnsi="Cambria Math" w:eastAsia="宋体"/>
                            <w:color w:val="auto"/>
                            <w:sz w:val="21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hint="default" w:ascii="Cambria Math" w:hAnsi="Cambria Math" w:eastAsia="宋体"/>
                            <w:color w:val="auto"/>
                            <w:sz w:val="21"/>
                          </w:rPr>
                          <m:t>p</m:t>
                        </m:r>
                        <m:ctrlPr>
                          <w:rPr>
                            <w:rFonts w:ascii="Cambria Math" w:hAnsi="Cambria Math" w:eastAsia="宋体"/>
                            <w:color w:val="auto"/>
                            <w:sz w:val="21"/>
                          </w:rPr>
                        </m:ctrlPr>
                      </m:sub>
                    </m:sSub>
                    <m:ctrlPr>
                      <w:rPr>
                        <w:rFonts w:hint="default" w:ascii="Cambria Math" w:hAnsi="Cambria Math" w:eastAsia="宋体"/>
                        <w:color w:val="auto"/>
                        <w:sz w:val="21"/>
                      </w:rPr>
                    </m:ctrlPr>
                  </m:num>
                  <m:den>
                    <m:r>
                      <m:rPr/>
                      <w:rPr>
                        <w:rFonts w:hint="default" w:ascii="Cambria Math" w:hAnsi="Cambria Math" w:eastAsia="宋体"/>
                        <w:color w:val="auto"/>
                        <w:sz w:val="21"/>
                      </w:rPr>
                      <m:t>1836</m:t>
                    </m:r>
                    <m:ctrlPr>
                      <w:rPr>
                        <w:rFonts w:hint="default" w:ascii="Cambria Math" w:hAnsi="Cambria Math" w:eastAsia="宋体"/>
                        <w:color w:val="auto"/>
                        <w:sz w:val="21"/>
                      </w:rPr>
                    </m:ctrlPr>
                  </m:den>
                </m:f>
              </m:oMath>
            </m:oMathPara>
          </w:p>
        </w:tc>
        <w:tc>
          <w:tcPr>
            <w:tcW w:w="0" w:type="auto"/>
            <w:vAlign w:val="center"/>
          </w:tcPr>
          <w:p w14:paraId="04B77F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0.99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u w:val="none"/>
                <w:vertAlign w:val="baseline"/>
                <w:lang w:val="en-US" w:eastAsia="zh-CN"/>
              </w:rPr>
              <w:t>c</w:t>
            </w:r>
          </w:p>
        </w:tc>
        <w:tc>
          <w:tcPr>
            <w:tcW w:w="0" w:type="auto"/>
            <w:vAlign w:val="center"/>
          </w:tcPr>
          <w:p w14:paraId="7FEE93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较弱</w:t>
            </w:r>
          </w:p>
        </w:tc>
        <w:tc>
          <w:tcPr>
            <w:tcW w:w="0" w:type="auto"/>
            <w:vAlign w:val="center"/>
          </w:tcPr>
          <w:p w14:paraId="6505D5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较强，能穿透几毫米厚的铝板</w:t>
            </w:r>
          </w:p>
        </w:tc>
      </w:tr>
      <w:tr w14:paraId="4B539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 w14:paraId="58067B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lang w:val="en-US" w:eastAsia="zh-CN"/>
              </w:rPr>
              <w:t>γ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lang w:val="en-US" w:eastAsia="zh-CN"/>
              </w:rPr>
              <w:t>射线</w:t>
            </w:r>
          </w:p>
        </w:tc>
        <w:tc>
          <w:tcPr>
            <w:tcW w:w="0" w:type="auto"/>
            <w:vAlign w:val="center"/>
          </w:tcPr>
          <w:p w14:paraId="71EA47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高能量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u w:val="single"/>
                <w:vertAlign w:val="baseline"/>
                <w:lang w:val="en-US" w:eastAsia="zh-CN"/>
              </w:rPr>
              <w:t xml:space="preserve">      </w:t>
            </w:r>
          </w:p>
        </w:tc>
        <w:tc>
          <w:tcPr>
            <w:tcW w:w="0" w:type="auto"/>
            <w:vAlign w:val="center"/>
          </w:tcPr>
          <w:p w14:paraId="690E0F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lang w:val="en-US" w:eastAsia="zh-CN"/>
              </w:rPr>
              <w:t>γ</w:t>
            </w:r>
          </w:p>
        </w:tc>
        <w:tc>
          <w:tcPr>
            <w:tcW w:w="0" w:type="auto"/>
            <w:vAlign w:val="center"/>
          </w:tcPr>
          <w:p w14:paraId="27BB3B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0</w:t>
            </w:r>
          </w:p>
        </w:tc>
        <w:tc>
          <w:tcPr>
            <w:tcW w:w="0" w:type="auto"/>
            <w:vAlign w:val="center"/>
          </w:tcPr>
          <w:p w14:paraId="0F6701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0</w:t>
            </w:r>
          </w:p>
        </w:tc>
        <w:tc>
          <w:tcPr>
            <w:tcW w:w="0" w:type="auto"/>
            <w:vAlign w:val="center"/>
          </w:tcPr>
          <w:p w14:paraId="517FE9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u w:val="none"/>
                <w:vertAlign w:val="baseline"/>
                <w:lang w:val="en-US" w:eastAsia="zh-CN"/>
              </w:rPr>
              <w:t>c</w:t>
            </w:r>
          </w:p>
        </w:tc>
        <w:tc>
          <w:tcPr>
            <w:tcW w:w="0" w:type="auto"/>
            <w:vAlign w:val="center"/>
          </w:tcPr>
          <w:p w14:paraId="50C336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最弱</w:t>
            </w:r>
          </w:p>
        </w:tc>
        <w:tc>
          <w:tcPr>
            <w:tcW w:w="0" w:type="auto"/>
            <w:vAlign w:val="center"/>
          </w:tcPr>
          <w:p w14:paraId="4DD653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最强，能穿透几厘米厚的铅板</w:t>
            </w:r>
          </w:p>
        </w:tc>
      </w:tr>
    </w:tbl>
    <w:p w14:paraId="6D963C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3.半衰期</w:t>
      </w:r>
    </w:p>
    <w:p w14:paraId="6B33E6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（1）定义：原子核数目因衰变减少到原来的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所经过的时间。</w:t>
      </w:r>
    </w:p>
    <w:p w14:paraId="0AD328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baseline"/>
        <w:rPr>
          <w:rFonts w:hint="default" w:hAnsi="Cambria Math" w:eastAsia="宋体" w:cs="Times New Roman"/>
          <w:b w:val="0"/>
          <w:bCs w:val="0"/>
          <w:i w:val="0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（2）公式：m=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。</w:t>
      </w:r>
    </w:p>
    <w:p w14:paraId="6E8EE6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（3）特点</w:t>
      </w:r>
    </w:p>
    <w:p w14:paraId="28702D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①不同的放射性元素，半衰期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，甚至差别非常大。</w:t>
      </w:r>
    </w:p>
    <w:p w14:paraId="5D4ADF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②放射性元素衰变的快慢是由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决定的，跟原子所处的化学状态和外部条件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5E9D99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（3）适用条件：半衰期描述的是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，不适用于少数原子核的衰变。</w:t>
      </w:r>
    </w:p>
    <w:p w14:paraId="208362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</w:p>
    <w:p w14:paraId="4FF8C4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判断</w:t>
      </w:r>
    </w:p>
    <w:p w14:paraId="6AC133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1.原子序数小于83的元素都不能放出射线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）</w:t>
      </w:r>
    </w:p>
    <w:p w14:paraId="6D3A25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射线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实际上就是氦原子核，α射线具有较强的穿透能力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）</w:t>
      </w:r>
    </w:p>
    <w:p w14:paraId="4C198A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3.把放射性元素放在低温处，可以减缓放射性元素的衰变                        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）</w:t>
      </w:r>
    </w:p>
    <w:p w14:paraId="07C2F4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4.如果现在有100个某放射性元素的原子核，那么经过一个半衰期后还剩50个     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）</w:t>
      </w:r>
    </w:p>
    <w:p w14:paraId="0C111F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5.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β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射线是高速电子流，很容易穿透黑纸，也能穿透几毫米厚的铝板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>（   ）</w:t>
      </w:r>
    </w:p>
    <w:p w14:paraId="24AF54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color w:val="auto"/>
        </w:rPr>
      </w:pP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>6.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γ</w:t>
      </w: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>射线是能量很高的电磁波，电离作用很强</w:t>
      </w: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）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1297EBD9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2ED33E0E"/>
    <w:rsid w:val="135A00AE"/>
    <w:rsid w:val="27357814"/>
    <w:rsid w:val="2ED33E0E"/>
    <w:rsid w:val="30183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538</Words>
  <Characters>576</Characters>
  <Lines>0</Lines>
  <Paragraphs>0</Paragraphs>
  <TotalTime>0</TotalTime>
  <ScaleCrop>false</ScaleCrop>
  <LinksUpToDate>false</LinksUpToDate>
  <CharactersWithSpaces>741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2025-07-16T08:52:00Z</dcterms:created>
  <dc:creator>少年如他</dc:creator>
  <cp:lastModifiedBy>这个方案做不了</cp:lastModifiedBy>
  <dcterms:modified xsi:type="dcterms:W3CDTF">2025-11-17T06:40:04Z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81877F7BC66A414FA840874C6B159882_11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